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4CC1" w14:textId="2CC3C937" w:rsidR="00DE0D52" w:rsidRPr="001026D8" w:rsidRDefault="00DE0D52" w:rsidP="00374728">
      <w:pPr>
        <w:spacing w:before="100" w:beforeAutospacing="1" w:after="100" w:afterAutospacing="1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kern w:val="0"/>
          <w:sz w:val="36"/>
          <w:szCs w:val="36"/>
          <w:u w:val="single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b/>
          <w:bCs/>
          <w:kern w:val="0"/>
          <w:sz w:val="36"/>
          <w:szCs w:val="36"/>
          <w:u w:val="single"/>
          <w:lang w:eastAsia="cs-CZ"/>
          <w14:ligatures w14:val="none"/>
        </w:rPr>
        <w:t>Sdělení klíčových informací a přístup k udržitelnosti</w:t>
      </w:r>
    </w:p>
    <w:p w14:paraId="376591A2" w14:textId="36FC9825" w:rsidR="004513D4" w:rsidRPr="001026D8" w:rsidRDefault="004513D4" w:rsidP="00471BA8">
      <w:pPr>
        <w:spacing w:before="100" w:beforeAutospacing="1" w:after="100" w:afterAutospacing="1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Informační dokument podle </w:t>
      </w:r>
      <w:r w:rsidR="008C1848" w:rsidRPr="001026D8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cs-CZ"/>
          <w14:ligatures w14:val="none"/>
        </w:rPr>
        <w:t>nařízení EU č. 2019/2088 (</w:t>
      </w:r>
      <w:r w:rsidR="008C1848" w:rsidRPr="001026D8">
        <w:rPr>
          <w:rFonts w:ascii="Arial Narrow" w:eastAsia="Times New Roman" w:hAnsi="Arial Narrow" w:cs="Times New Roman"/>
          <w:b/>
          <w:bCs/>
          <w:kern w:val="0"/>
          <w:lang w:eastAsia="cs-CZ"/>
          <w14:ligatures w14:val="none"/>
        </w:rPr>
        <w:t>„</w:t>
      </w:r>
      <w:r w:rsidRPr="001026D8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cs-CZ"/>
          <w14:ligatures w14:val="none"/>
        </w:rPr>
        <w:t>SFDR</w:t>
      </w:r>
      <w:r w:rsidR="008C1848" w:rsidRPr="001026D8">
        <w:rPr>
          <w:rFonts w:ascii="Arial Narrow" w:eastAsia="Times New Roman" w:hAnsi="Arial Narrow" w:cs="Times New Roman"/>
          <w:b/>
          <w:bCs/>
          <w:kern w:val="0"/>
          <w:lang w:eastAsia="cs-CZ"/>
          <w14:ligatures w14:val="none"/>
        </w:rPr>
        <w:t>“</w:t>
      </w:r>
      <w:r w:rsidR="008C1848" w:rsidRPr="001026D8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cs-CZ"/>
          <w14:ligatures w14:val="none"/>
        </w:rPr>
        <w:t>)</w:t>
      </w:r>
    </w:p>
    <w:p w14:paraId="4E90BDE1" w14:textId="0E9A6B7B" w:rsidR="004513D4" w:rsidRPr="001026D8" w:rsidRDefault="004513D4" w:rsidP="001026D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 xml:space="preserve">Společnost </w:t>
      </w:r>
      <w:r w:rsidR="00434A48"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REAL KREDIT a.s.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, IČO:</w:t>
      </w:r>
      <w:r w:rsidR="00434A48"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 xml:space="preserve"> 26215411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 xml:space="preserve">, se sídlem </w:t>
      </w:r>
      <w:r w:rsidR="00434A48"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Na strži 1837/9, Krč, 140 00 Praha 4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 xml:space="preserve"> (dále jen „</w:t>
      </w:r>
      <w:r w:rsidRPr="001026D8">
        <w:rPr>
          <w:rFonts w:ascii="Arial Narrow" w:eastAsia="Times New Roman" w:hAnsi="Arial Narrow" w:cs="Times New Roman"/>
          <w:b/>
          <w:bCs/>
          <w:kern w:val="0"/>
          <w:lang w:eastAsia="cs-CZ"/>
          <w14:ligatures w14:val="none"/>
        </w:rPr>
        <w:t>Společnost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“) je správcem majetku srovnatelného s obhospodařováním dle § 15 zákona č. 240/2013 Sb., o investičních společnostech a investičních fondech</w:t>
      </w:r>
      <w:r w:rsidR="00DE0D52"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 xml:space="preserve"> (správce alternativního fondu)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 xml:space="preserve">. Tímto v souladu s nařízením Evropského parlamentu a Rady (EU) 2019/2088 </w:t>
      </w:r>
      <w:r w:rsidR="00DE0D52"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 xml:space="preserve">o </w:t>
      </w:r>
      <w:r w:rsidR="00CA06BA"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zveřejňování</w:t>
      </w:r>
      <w:r w:rsidR="00555240"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 xml:space="preserve"> </w:t>
      </w:r>
      <w:r w:rsidR="00CA06BA"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informací</w:t>
      </w:r>
      <w:r w:rsidR="00DE0D52"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 xml:space="preserve"> souvisejících s udržitelností v odvětví finančních služeb 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(„SFDR“) poskytuje níže uvedené informace.</w:t>
      </w:r>
    </w:p>
    <w:p w14:paraId="238DF61E" w14:textId="0D5818BB" w:rsidR="00CA06BA" w:rsidRPr="001026D8" w:rsidRDefault="00CA06BA" w:rsidP="001026D8">
      <w:pPr>
        <w:spacing w:before="100" w:beforeAutospacing="1" w:after="100" w:afterAutospacing="1" w:line="240" w:lineRule="auto"/>
        <w:jc w:val="both"/>
        <w:rPr>
          <w:rFonts w:ascii="Arial Narrow" w:hAnsi="Arial Narrow" w:cs="Times New Roman"/>
          <w:spacing w:val="4"/>
          <w:shd w:val="clear" w:color="auto" w:fill="FFFFFF"/>
        </w:rPr>
      </w:pP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Cílem nařízení SFD</w:t>
      </w:r>
      <w:r w:rsidR="008C1848"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R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 xml:space="preserve"> </w:t>
      </w:r>
      <w:r w:rsidRPr="001026D8">
        <w:rPr>
          <w:rFonts w:ascii="Arial Narrow" w:hAnsi="Arial Narrow" w:cs="Times New Roman"/>
          <w:spacing w:val="4"/>
          <w:shd w:val="clear" w:color="auto" w:fill="FFFFFF"/>
        </w:rPr>
        <w:t xml:space="preserve">je mobilizovat kapitál ve směru boje proti změně klimatu a souvisejícím problémům. Nařízení se snaží tohoto cíle dosáhnout prostřednictvím </w:t>
      </w:r>
      <w:r w:rsidR="008C1848" w:rsidRPr="001026D8">
        <w:rPr>
          <w:rFonts w:ascii="Arial Narrow" w:hAnsi="Arial Narrow" w:cs="Times New Roman"/>
          <w:spacing w:val="4"/>
          <w:shd w:val="clear" w:color="auto" w:fill="FFFFFF"/>
        </w:rPr>
        <w:t xml:space="preserve">transparentního </w:t>
      </w:r>
      <w:r w:rsidRPr="001026D8">
        <w:rPr>
          <w:rFonts w:ascii="Arial Narrow" w:hAnsi="Arial Narrow" w:cs="Times New Roman"/>
          <w:spacing w:val="4"/>
          <w:shd w:val="clear" w:color="auto" w:fill="FFFFFF"/>
        </w:rPr>
        <w:t>zveřejňování informací o udržitelnosti ze strany finančních institucí</w:t>
      </w:r>
      <w:r w:rsidR="008C1848" w:rsidRPr="001026D8">
        <w:rPr>
          <w:rFonts w:ascii="Arial Narrow" w:hAnsi="Arial Narrow" w:cs="Times New Roman"/>
          <w:spacing w:val="4"/>
          <w:shd w:val="clear" w:color="auto" w:fill="FFFFFF"/>
        </w:rPr>
        <w:t>.</w:t>
      </w:r>
    </w:p>
    <w:p w14:paraId="75A8967E" w14:textId="260C2A01" w:rsidR="008C1848" w:rsidRPr="001026D8" w:rsidRDefault="008C1848" w:rsidP="004513D4">
      <w:pPr>
        <w:spacing w:before="100" w:beforeAutospacing="1" w:after="100" w:afterAutospacing="1" w:line="240" w:lineRule="auto"/>
        <w:rPr>
          <w:rFonts w:ascii="Arial Narrow" w:hAnsi="Arial Narrow" w:cs="Times New Roman"/>
          <w:b/>
          <w:bCs/>
          <w:spacing w:val="4"/>
          <w:sz w:val="27"/>
          <w:szCs w:val="27"/>
          <w:shd w:val="clear" w:color="auto" w:fill="FFFFFF"/>
        </w:rPr>
      </w:pPr>
      <w:r w:rsidRPr="001026D8">
        <w:rPr>
          <w:rFonts w:ascii="Arial Narrow" w:hAnsi="Arial Narrow" w:cs="Times New Roman"/>
          <w:b/>
          <w:bCs/>
          <w:spacing w:val="4"/>
          <w:sz w:val="27"/>
          <w:szCs w:val="27"/>
          <w:shd w:val="clear" w:color="auto" w:fill="FFFFFF"/>
        </w:rPr>
        <w:t>Faktory udržitelnosti</w:t>
      </w:r>
    </w:p>
    <w:p w14:paraId="0CA77EB7" w14:textId="04721B05" w:rsidR="008C1848" w:rsidRPr="001026D8" w:rsidRDefault="008C1848" w:rsidP="001026D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„Faktory udržitelnosti“ se rozumí environmentální, sociální a zaměstnanecké otázky, dodržování lidských práv a otázky a boje proti korupci a úplatkářství.</w:t>
      </w:r>
    </w:p>
    <w:p w14:paraId="601EB765" w14:textId="0A0B3ADE" w:rsidR="008C1848" w:rsidRPr="001026D8" w:rsidRDefault="008C1848" w:rsidP="004513D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b/>
          <w:bCs/>
          <w:kern w:val="0"/>
          <w:sz w:val="27"/>
          <w:szCs w:val="27"/>
          <w:lang w:eastAsia="cs-CZ"/>
          <w14:ligatures w14:val="none"/>
        </w:rPr>
        <w:t>Udržitelné investice</w:t>
      </w:r>
    </w:p>
    <w:p w14:paraId="3E62B461" w14:textId="710F9181" w:rsidR="008C1848" w:rsidRPr="001026D8" w:rsidRDefault="008C1848" w:rsidP="001026D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„Udržitelnou investicí“, se rozumí investice jak jsou definovány v čl. 2 odst. 17 Nařízení SFDR, tj. investice do hospodářské činnosti, která přispívá k environmentálním cílům, jako jsou investice měřené například klíčovými ukazateli pro účinnost zdrojů ohledně využívání energie, energie z obnovitelných zdrojů, surovin, vody a půdy, produkce odpadů, emisí skleníkových plynů, nebo ukazateli jejího dopadu na biologickou rozmanitost a oběhové hospodářství, nebo investice do hospodářské činnosti, která přispívá k sociálním cílům, zejména investice, která přispívá k řešení nerovnosti, nebo investice podporující sociální soudržnost, sociální integraci a pracovněprávní vztahy nebo investice do lidského kapitálu nebo hospodářsky či sociálně znevýhodněných komunit, za předpokladu, že tyto investice významně nepoškozují žádný z uvedených cílů a společnosti, do nichž je investováno, dodržují postupy řádné správy a řízení, zejména ohledně řádných struktur řízení, vztahů se zaměstnanci, odměňování příslušných zaměstnanců a dodržování daňových předpisů.</w:t>
      </w:r>
    </w:p>
    <w:p w14:paraId="21D14C43" w14:textId="7455DF5C" w:rsidR="004513D4" w:rsidRPr="001026D8" w:rsidRDefault="004513D4" w:rsidP="004513D4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b/>
          <w:bCs/>
          <w:kern w:val="0"/>
          <w:sz w:val="27"/>
          <w:szCs w:val="27"/>
          <w:lang w:eastAsia="cs-CZ"/>
          <w14:ligatures w14:val="none"/>
        </w:rPr>
        <w:t>Zohledňování rizik týkajících se udržitelnosti</w:t>
      </w:r>
    </w:p>
    <w:p w14:paraId="756772EA" w14:textId="77777777" w:rsidR="004513D4" w:rsidRPr="001026D8" w:rsidRDefault="004513D4" w:rsidP="001026D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Společnost informuje, že </w:t>
      </w:r>
      <w:r w:rsidRPr="001026D8">
        <w:rPr>
          <w:rFonts w:ascii="Arial Narrow" w:eastAsia="Times New Roman" w:hAnsi="Arial Narrow" w:cs="Times New Roman"/>
          <w:b/>
          <w:bCs/>
          <w:kern w:val="0"/>
          <w:lang w:eastAsia="cs-CZ"/>
          <w14:ligatures w14:val="none"/>
        </w:rPr>
        <w:t xml:space="preserve">v 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současnosti nezačleňuje rizika týkající se udržitelnosti (tj. rizika vyplývající např. z environmentálních nebo sociálních událostí či podmínek) do svých investičních rozhodnutí. Důvodem je:</w:t>
      </w:r>
    </w:p>
    <w:p w14:paraId="1CB06D47" w14:textId="77777777" w:rsidR="004513D4" w:rsidRPr="001026D8" w:rsidRDefault="004513D4" w:rsidP="001026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velikost společnosti,</w:t>
      </w:r>
    </w:p>
    <w:p w14:paraId="375CF06B" w14:textId="77777777" w:rsidR="004513D4" w:rsidRPr="001026D8" w:rsidRDefault="004513D4" w:rsidP="001026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povaha spravovaného majetku,</w:t>
      </w:r>
    </w:p>
    <w:p w14:paraId="0380187C" w14:textId="77777777" w:rsidR="004513D4" w:rsidRPr="001026D8" w:rsidRDefault="004513D4" w:rsidP="001026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investiční strategie, která nezohledňuje ESG charakteristiky ani neproklamuje cíle udržitelných investic.</w:t>
      </w:r>
    </w:p>
    <w:p w14:paraId="6437F7D4" w14:textId="77777777" w:rsidR="004513D4" w:rsidRPr="001026D8" w:rsidRDefault="004513D4" w:rsidP="004513D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Tato skutečnost je pravidelně vyhodnocována a přezkoumávána (minimálně jednou ročně).</w:t>
      </w:r>
    </w:p>
    <w:p w14:paraId="522B755A" w14:textId="7AF062A4" w:rsidR="004513D4" w:rsidRPr="001026D8" w:rsidRDefault="004513D4" w:rsidP="004513D4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b/>
          <w:bCs/>
          <w:kern w:val="0"/>
          <w:sz w:val="27"/>
          <w:szCs w:val="27"/>
          <w:lang w:eastAsia="cs-CZ"/>
          <w14:ligatures w14:val="none"/>
        </w:rPr>
        <w:t>Zohledňování hlavních nepříznivých dopadů investičních rozhodnutí na faktory udržitelnosti (čl. 4 SFDR)</w:t>
      </w:r>
    </w:p>
    <w:p w14:paraId="6841E8C4" w14:textId="77777777" w:rsidR="004513D4" w:rsidRPr="001026D8" w:rsidRDefault="004513D4" w:rsidP="001026D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lastRenderedPageBreak/>
        <w:t>Společnost rovněž nezohledňuje hlavní nepříznivé dopady svých investičních rozhodnutí na faktory udržitelnosti („PAI – principal adverse impacts“), neboť:</w:t>
      </w:r>
    </w:p>
    <w:p w14:paraId="438B96B2" w14:textId="77777777" w:rsidR="004513D4" w:rsidRPr="001026D8" w:rsidRDefault="004513D4" w:rsidP="001026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produkty, které nabízí, nemají charakter ESG produktů dle článku 8 nebo 9 SFDR,</w:t>
      </w:r>
    </w:p>
    <w:p w14:paraId="5D210F4B" w14:textId="77777777" w:rsidR="004513D4" w:rsidRPr="001026D8" w:rsidRDefault="004513D4" w:rsidP="001026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neexistuje žádné regulatorní nebo komerční očekávání, že by tato úroveň reportingu byla vyžadována,</w:t>
      </w:r>
    </w:p>
    <w:p w14:paraId="585487E9" w14:textId="77777777" w:rsidR="004513D4" w:rsidRPr="001026D8" w:rsidRDefault="004513D4" w:rsidP="001026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přínos takového zohledňování by nevyvážil regulatorní a administrativní zátěž, kterou by to obnášelo.</w:t>
      </w:r>
    </w:p>
    <w:p w14:paraId="1EB1C369" w14:textId="24A24A85" w:rsidR="007D32CE" w:rsidRPr="001026D8" w:rsidRDefault="004513D4" w:rsidP="001026D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Společnost však oblast sleduje a nevylučuje budoucí změnu tohoto přístupu.</w:t>
      </w:r>
    </w:p>
    <w:p w14:paraId="10973752" w14:textId="06829738" w:rsidR="004513D4" w:rsidRPr="001026D8" w:rsidRDefault="004513D4" w:rsidP="004513D4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b/>
          <w:bCs/>
          <w:kern w:val="0"/>
          <w:sz w:val="27"/>
          <w:szCs w:val="27"/>
          <w:lang w:eastAsia="cs-CZ"/>
          <w14:ligatures w14:val="none"/>
        </w:rPr>
        <w:t>Povinné zveřejnění dle článku 3 SFDR – politika integrace rizik</w:t>
      </w:r>
    </w:p>
    <w:p w14:paraId="14320827" w14:textId="77777777" w:rsidR="004513D4" w:rsidRPr="001026D8" w:rsidRDefault="004513D4" w:rsidP="004513D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Vzhledem k výše uvedenému Společnost konstatuje, že:</w:t>
      </w:r>
    </w:p>
    <w:p w14:paraId="5E6F7EF5" w14:textId="412A73AF" w:rsidR="004513D4" w:rsidRPr="001026D8" w:rsidRDefault="004513D4" w:rsidP="001026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b/>
          <w:bCs/>
          <w:kern w:val="0"/>
          <w:lang w:eastAsia="cs-CZ"/>
          <w14:ligatures w14:val="none"/>
        </w:rPr>
        <w:t>neprovozuje interní ESG politiku integrace rizik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, neboť se ESG rizika do investičního</w:t>
      </w:r>
      <w:r w:rsid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 xml:space="preserve"> 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rozhodování nezahrnují;</w:t>
      </w:r>
    </w:p>
    <w:p w14:paraId="76665F15" w14:textId="77777777" w:rsidR="004513D4" w:rsidRPr="001026D8" w:rsidRDefault="004513D4" w:rsidP="001026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zároveň Společnost garantuje, že svým přístupem </w:t>
      </w:r>
      <w:r w:rsidRPr="001026D8">
        <w:rPr>
          <w:rFonts w:ascii="Arial Narrow" w:eastAsia="Times New Roman" w:hAnsi="Arial Narrow" w:cs="Times New Roman"/>
          <w:b/>
          <w:bCs/>
          <w:kern w:val="0"/>
          <w:lang w:eastAsia="cs-CZ"/>
          <w14:ligatures w14:val="none"/>
        </w:rPr>
        <w:t>nepodporuje investice s nepříznivými ESG dopady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, a že její odměňovací politika </w:t>
      </w:r>
      <w:r w:rsidRPr="001026D8">
        <w:rPr>
          <w:rFonts w:ascii="Arial Narrow" w:eastAsia="Times New Roman" w:hAnsi="Arial Narrow" w:cs="Times New Roman"/>
          <w:b/>
          <w:bCs/>
          <w:kern w:val="0"/>
          <w:lang w:eastAsia="cs-CZ"/>
          <w14:ligatures w14:val="none"/>
        </w:rPr>
        <w:t>není v rozporu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 s cíli SFDR.</w:t>
      </w:r>
    </w:p>
    <w:p w14:paraId="505A9FEA" w14:textId="29121F41" w:rsidR="004513D4" w:rsidRPr="001026D8" w:rsidRDefault="004513D4" w:rsidP="004513D4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b/>
          <w:bCs/>
          <w:kern w:val="0"/>
          <w:sz w:val="27"/>
          <w:szCs w:val="27"/>
          <w:lang w:eastAsia="cs-CZ"/>
          <w14:ligatures w14:val="none"/>
        </w:rPr>
        <w:t>Informace dle článku 10 SFDR – produkty s udržitelnými vlastnostmi</w:t>
      </w:r>
    </w:p>
    <w:p w14:paraId="3FB5B471" w14:textId="77777777" w:rsidR="004513D4" w:rsidRPr="001026D8" w:rsidRDefault="004513D4" w:rsidP="001026D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Společnost </w:t>
      </w:r>
      <w:r w:rsidRPr="001026D8">
        <w:rPr>
          <w:rFonts w:ascii="Arial Narrow" w:eastAsia="Times New Roman" w:hAnsi="Arial Narrow" w:cs="Times New Roman"/>
          <w:b/>
          <w:bCs/>
          <w:kern w:val="0"/>
          <w:lang w:eastAsia="cs-CZ"/>
          <w14:ligatures w14:val="none"/>
        </w:rPr>
        <w:t>nenabízí finanční produkty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, které by měly environmentální nebo sociální vlastnosti nebo by sledovaly cíle udržitelných investic dle článků 8 a 9 SFDR.</w:t>
      </w:r>
    </w:p>
    <w:p w14:paraId="38D82420" w14:textId="77777777" w:rsidR="004513D4" w:rsidRDefault="004513D4" w:rsidP="001026D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Z tohoto důvodu se na Společnost </w:t>
      </w:r>
      <w:r w:rsidRPr="001026D8">
        <w:rPr>
          <w:rFonts w:ascii="Arial Narrow" w:eastAsia="Times New Roman" w:hAnsi="Arial Narrow" w:cs="Times New Roman"/>
          <w:b/>
          <w:bCs/>
          <w:kern w:val="0"/>
          <w:lang w:eastAsia="cs-CZ"/>
          <w14:ligatures w14:val="none"/>
        </w:rPr>
        <w:t>nevztahuje povinnost zveřejňovat informace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 uvedené v článku 10 SFDR ani v příslušných technických standardech (RTS k SFDR).</w:t>
      </w:r>
    </w:p>
    <w:p w14:paraId="5D8D7F60" w14:textId="479EBDC4" w:rsidR="003606FE" w:rsidRPr="003606FE" w:rsidRDefault="003606FE" w:rsidP="001026D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3606FE">
        <w:rPr>
          <w:rFonts w:ascii="Arial Narrow" w:eastAsia="Times New Roman" w:hAnsi="Arial Narrow" w:cs="Times New Roman"/>
          <w:b/>
          <w:bCs/>
          <w:kern w:val="0"/>
          <w:sz w:val="27"/>
          <w:szCs w:val="27"/>
          <w:lang w:eastAsia="cs-CZ"/>
          <w14:ligatures w14:val="none"/>
        </w:rPr>
        <w:t>Zásady odměňování s ohledem na začleňování rizik týkajících se udržitelnosti</w:t>
      </w:r>
    </w:p>
    <w:p w14:paraId="2DA5EB6B" w14:textId="5FA1BA1B" w:rsidR="00425759" w:rsidRPr="001026D8" w:rsidRDefault="00425759" w:rsidP="001026D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Spolec</w:t>
      </w:r>
      <w:r w:rsidRPr="001026D8">
        <w:rPr>
          <w:rFonts w:ascii="Arial" w:eastAsia="Times New Roman" w:hAnsi="Arial" w:cs="Arial"/>
          <w:kern w:val="0"/>
          <w:lang w:eastAsia="cs-CZ"/>
          <w14:ligatures w14:val="none"/>
        </w:rPr>
        <w:t>̌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nost uplat</w:t>
      </w:r>
      <w:r w:rsid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ň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uje jiná hlavní pravidla a zásady odm</w:t>
      </w:r>
      <w:r w:rsid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ěňo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vání, která jsou nastavena v souladu se sektorovou regulací a která jsou dlouhodob</w:t>
      </w:r>
      <w:r w:rsidR="001026D8"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 xml:space="preserve">ě 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udr</w:t>
      </w:r>
      <w:r w:rsidR="001026D8"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ži</w:t>
      </w:r>
      <w:r w:rsid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t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elná pro Spole</w:t>
      </w:r>
      <w:r w:rsid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č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nost. I kdy</w:t>
      </w:r>
      <w:r w:rsid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ž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 xml:space="preserve"> zásady neobsahují jako hlavní kritéria sni</w:t>
      </w:r>
      <w:r w:rsid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žo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vání rizik udr</w:t>
      </w:r>
      <w:r w:rsidR="001026D8"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ž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itelnost, nejsou nastaveny zp</w:t>
      </w:r>
      <w:r w:rsid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ů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sobem, který by nep</w:t>
      </w:r>
      <w:r w:rsid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ří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znivé dopady investi</w:t>
      </w:r>
      <w:r w:rsid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č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ních rozhodnutí na udr</w:t>
      </w:r>
      <w:r w:rsid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ži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telnost podporoval. Podkladové investice tohoto finan</w:t>
      </w:r>
      <w:r w:rsid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č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ního produktu nezohled</w:t>
      </w:r>
      <w:r w:rsid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ň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ují kritéria EU pro environmentáln</w:t>
      </w:r>
      <w:r w:rsidR="001026D8"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ě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 xml:space="preserve"> ud</w:t>
      </w:r>
      <w:r w:rsid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ži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telné hospodár</w:t>
      </w:r>
      <w:r w:rsidRPr="001026D8">
        <w:rPr>
          <w:rFonts w:ascii="Arial" w:eastAsia="Times New Roman" w:hAnsi="Arial" w:cs="Arial"/>
          <w:kern w:val="0"/>
          <w:lang w:eastAsia="cs-CZ"/>
          <w14:ligatures w14:val="none"/>
        </w:rPr>
        <w:t>̌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 xml:space="preserve">ské </w:t>
      </w:r>
      <w:r w:rsid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či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nnosti.</w:t>
      </w:r>
    </w:p>
    <w:p w14:paraId="7AC92F70" w14:textId="45FB0746" w:rsidR="00425759" w:rsidRPr="001026D8" w:rsidRDefault="004513D4" w:rsidP="004513D4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b/>
          <w:bCs/>
          <w:kern w:val="0"/>
          <w:sz w:val="27"/>
          <w:szCs w:val="27"/>
          <w:lang w:eastAsia="cs-CZ"/>
          <w14:ligatures w14:val="none"/>
        </w:rPr>
        <w:t>Závěrečná poznámka</w:t>
      </w:r>
    </w:p>
    <w:p w14:paraId="1CA1BAAF" w14:textId="2F730116" w:rsidR="004513D4" w:rsidRPr="001026D8" w:rsidRDefault="004513D4" w:rsidP="004513D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lang w:eastAsia="cs-CZ"/>
          <w14:ligatures w14:val="none"/>
        </w:rPr>
      </w:pP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Tento dokument je veřejně dostupný na webových stránkách Společnosti</w:t>
      </w:r>
      <w:r w:rsidR="007D78DC">
        <w:rPr>
          <w:rFonts w:ascii="Arial Narrow" w:eastAsia="Times New Roman" w:hAnsi="Arial Narrow" w:cs="Times New Roman"/>
          <w:kern w:val="0"/>
          <w:lang w:eastAsia="cs-CZ"/>
          <w14:ligatures w14:val="none"/>
        </w:rPr>
        <w:t xml:space="preserve"> a je pravidelně aktualizován v případě jakýchkoliv změn</w:t>
      </w:r>
      <w:r w:rsidRPr="001026D8">
        <w:rPr>
          <w:rFonts w:ascii="Arial Narrow" w:eastAsia="Times New Roman" w:hAnsi="Arial Narrow" w:cs="Times New Roman"/>
          <w:kern w:val="0"/>
          <w:lang w:eastAsia="cs-CZ"/>
          <w14:ligatures w14:val="none"/>
        </w:rPr>
        <w:t>.</w:t>
      </w:r>
    </w:p>
    <w:p w14:paraId="77E849B6" w14:textId="77777777" w:rsidR="00896E8B" w:rsidRPr="001026D8" w:rsidRDefault="00896E8B">
      <w:pPr>
        <w:rPr>
          <w:rFonts w:ascii="Arial Narrow" w:hAnsi="Arial Narrow"/>
        </w:rPr>
      </w:pPr>
    </w:p>
    <w:sectPr w:rsidR="00896E8B" w:rsidRPr="00102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F5FA2"/>
    <w:multiLevelType w:val="multilevel"/>
    <w:tmpl w:val="1DC6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6937CB"/>
    <w:multiLevelType w:val="multilevel"/>
    <w:tmpl w:val="5F40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44F49"/>
    <w:multiLevelType w:val="multilevel"/>
    <w:tmpl w:val="C2C8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252672">
    <w:abstractNumId w:val="2"/>
  </w:num>
  <w:num w:numId="2" w16cid:durableId="1173689066">
    <w:abstractNumId w:val="0"/>
  </w:num>
  <w:num w:numId="3" w16cid:durableId="52783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28"/>
    <w:rsid w:val="00026C91"/>
    <w:rsid w:val="00063D28"/>
    <w:rsid w:val="001026D8"/>
    <w:rsid w:val="001E4A0D"/>
    <w:rsid w:val="003606FE"/>
    <w:rsid w:val="00374728"/>
    <w:rsid w:val="00425759"/>
    <w:rsid w:val="00434A48"/>
    <w:rsid w:val="004513D4"/>
    <w:rsid w:val="00471BA8"/>
    <w:rsid w:val="00555240"/>
    <w:rsid w:val="00757012"/>
    <w:rsid w:val="007D32CE"/>
    <w:rsid w:val="007D78DC"/>
    <w:rsid w:val="00896E8B"/>
    <w:rsid w:val="008C1848"/>
    <w:rsid w:val="00AA16EE"/>
    <w:rsid w:val="00B33766"/>
    <w:rsid w:val="00B62AC6"/>
    <w:rsid w:val="00CA06BA"/>
    <w:rsid w:val="00CA5E5F"/>
    <w:rsid w:val="00D941E5"/>
    <w:rsid w:val="00DE0D52"/>
    <w:rsid w:val="00E30E09"/>
    <w:rsid w:val="00E439B7"/>
    <w:rsid w:val="00F5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1105"/>
  <w15:chartTrackingRefBased/>
  <w15:docId w15:val="{B7EE25CF-B315-8C48-9DDA-51FA1708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3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3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63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3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3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3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3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3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3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63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63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063D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3D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3D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3D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3D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3D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3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3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3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3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3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3D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3D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3D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3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3D2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3D28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89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96E8B"/>
    <w:rPr>
      <w:b/>
      <w:bCs/>
    </w:rPr>
  </w:style>
  <w:style w:type="character" w:customStyle="1" w:styleId="apple-converted-space">
    <w:name w:val="apple-converted-space"/>
    <w:basedOn w:val="Standardnpsmoodstavce"/>
    <w:rsid w:val="00896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FA0A1-33DB-406D-8FA7-219B71F5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Sehnal Jan</dc:creator>
  <cp:keywords/>
  <dc:description/>
  <cp:lastModifiedBy>sarka</cp:lastModifiedBy>
  <cp:revision>6</cp:revision>
  <dcterms:created xsi:type="dcterms:W3CDTF">2025-07-07T09:33:00Z</dcterms:created>
  <dcterms:modified xsi:type="dcterms:W3CDTF">2025-07-07T09:53:00Z</dcterms:modified>
</cp:coreProperties>
</file>